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5 (Stand-Alone): Our MLA - Who Speaks for Kelowna Centre?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Who Represents Us?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Who is the MLA for Kelowna Centre, and what party is she in?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one job an MLA does.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How is an MLA different from a mayor or a school trustee?</w:t>
      </w:r>
    </w:p>
    <w:p>
      <w:pPr>
        <w:spacing w:after="80"/>
      </w:pPr>
      <w:r>
        <w:rPr>
          <w:b w:val="0"/>
          <w:i/>
          <w:sz w:val="18"/>
        </w:rPr>
        <w:t>(Grade 6 / challenge: how does a party become the government?)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who our MLA is and what an MLA does.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